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E373FC"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E373FC">
        <w:rPr>
          <w:rFonts w:ascii="Times New Roman" w:eastAsia="SimSun" w:hAnsi="Times New Roman" w:cs="Times New Roman"/>
          <w:color w:val="000000" w:themeColor="text1"/>
          <w:kern w:val="1"/>
          <w:sz w:val="24"/>
          <w:szCs w:val="24"/>
          <w:lang w:eastAsia="zh-CN" w:bidi="hi-IN"/>
        </w:rPr>
        <w:t xml:space="preserve">Последнее обновление: </w:t>
      </w:r>
    </w:p>
    <w:p w14:paraId="4B50E978" w14:textId="311B3F4A" w:rsidR="00E373FC" w:rsidRPr="00E373FC" w:rsidRDefault="00903EB1" w:rsidP="00E373FC">
      <w:pPr>
        <w:pStyle w:val="a3"/>
        <w:contextualSpacing/>
        <w:jc w:val="both"/>
        <w:rPr>
          <w:rFonts w:ascii="Times New Roman" w:hAnsi="Times New Roman" w:cs="Times New Roman"/>
          <w:bCs/>
          <w:sz w:val="24"/>
          <w:szCs w:val="24"/>
        </w:rPr>
      </w:pPr>
      <w:r>
        <w:rPr>
          <w:rFonts w:ascii="Times New Roman" w:hAnsi="Times New Roman" w:cs="Times New Roman"/>
          <w:bCs/>
          <w:sz w:val="24"/>
          <w:szCs w:val="24"/>
        </w:rPr>
        <w:t>«24</w:t>
      </w:r>
      <w:r w:rsidR="00E373FC" w:rsidRPr="00E373FC">
        <w:rPr>
          <w:rFonts w:ascii="Times New Roman" w:hAnsi="Times New Roman" w:cs="Times New Roman"/>
          <w:bCs/>
          <w:sz w:val="24"/>
          <w:szCs w:val="24"/>
        </w:rPr>
        <w:t xml:space="preserve">» </w:t>
      </w:r>
      <w:r>
        <w:rPr>
          <w:rFonts w:ascii="Times New Roman" w:hAnsi="Times New Roman" w:cs="Times New Roman"/>
          <w:bCs/>
          <w:sz w:val="24"/>
          <w:szCs w:val="24"/>
        </w:rPr>
        <w:t>ноября</w:t>
      </w:r>
      <w:r w:rsidR="00E373FC" w:rsidRPr="00E373FC">
        <w:rPr>
          <w:rFonts w:ascii="Times New Roman" w:hAnsi="Times New Roman" w:cs="Times New Roman"/>
          <w:bCs/>
          <w:sz w:val="24"/>
          <w:szCs w:val="24"/>
        </w:rPr>
        <w:t xml:space="preserve"> 2025</w:t>
      </w:r>
      <w:r w:rsidR="00E373FC" w:rsidRPr="00E373FC">
        <w:rPr>
          <w:rFonts w:ascii="Times New Roman" w:hAnsi="Times New Roman" w:cs="Times New Roman"/>
          <w:bCs/>
          <w:color w:val="000000"/>
          <w:sz w:val="24"/>
          <w:szCs w:val="24"/>
          <w:shd w:val="clear" w:color="auto" w:fill="FFFFFF"/>
        </w:rPr>
        <w:t xml:space="preserve"> 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1.1. </w:t>
      </w:r>
      <w:proofErr w:type="gramStart"/>
      <w:r w:rsidRPr="00E373FC">
        <w:rPr>
          <w:rFonts w:ascii="Times New Roman" w:eastAsia="SimSun" w:hAnsi="Times New Roman" w:cs="Times New Roman"/>
          <w:color w:val="000000" w:themeColor="text1"/>
          <w:kern w:val="2"/>
          <w:sz w:val="24"/>
          <w:szCs w:val="24"/>
          <w:lang w:eastAsia="zh-CN" w:bidi="hi-IN"/>
        </w:rPr>
        <w:t>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roofErr w:type="gramEnd"/>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1C8F25E6"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proofErr w:type="gramStart"/>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903EB1">
        <w:rPr>
          <w:rFonts w:ascii="Times New Roman" w:hAnsi="Times New Roman" w:cs="Times New Roman"/>
          <w:color w:val="000000" w:themeColor="text1"/>
          <w:sz w:val="24"/>
          <w:szCs w:val="24"/>
          <w:lang w:eastAsia="ru-RU"/>
        </w:rPr>
        <w:t xml:space="preserve">ООО "Автосервис </w:t>
      </w:r>
      <w:proofErr w:type="spellStart"/>
      <w:r w:rsidR="00903EB1">
        <w:rPr>
          <w:rFonts w:ascii="Times New Roman" w:hAnsi="Times New Roman" w:cs="Times New Roman"/>
          <w:color w:val="000000" w:themeColor="text1"/>
          <w:sz w:val="24"/>
          <w:szCs w:val="24"/>
          <w:lang w:eastAsia="ru-RU"/>
        </w:rPr>
        <w:t>Авм</w:t>
      </w:r>
      <w:proofErr w:type="spellEnd"/>
      <w:r w:rsidR="00903EB1">
        <w:rPr>
          <w:rFonts w:ascii="Times New Roman" w:hAnsi="Times New Roman" w:cs="Times New Roman"/>
          <w:color w:val="000000" w:themeColor="text1"/>
          <w:sz w:val="24"/>
          <w:szCs w:val="24"/>
          <w:lang w:eastAsia="ru-RU"/>
        </w:rPr>
        <w:t xml:space="preserve"> ПРО"</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roofErr w:type="gramEnd"/>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gramStart"/>
      <w:r w:rsidRPr="00E373FC">
        <w:rPr>
          <w:rFonts w:ascii="Times New Roman" w:hAnsi="Times New Roman" w:cs="Times New Roman"/>
          <w:color w:val="000000" w:themeColor="text1"/>
          <w:sz w:val="24"/>
          <w:szCs w:val="24"/>
          <w:lang w:eastAsia="ru-RU"/>
        </w:rPr>
        <w:t xml:space="preserve">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w:t>
      </w:r>
      <w:r w:rsidRPr="00E373FC">
        <w:rPr>
          <w:rFonts w:ascii="Times New Roman" w:hAnsi="Times New Roman" w:cs="Times New Roman"/>
          <w:color w:val="000000" w:themeColor="text1"/>
          <w:sz w:val="24"/>
          <w:szCs w:val="24"/>
          <w:lang w:eastAsia="ru-RU"/>
        </w:rPr>
        <w:lastRenderedPageBreak/>
        <w:t>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E373FC">
        <w:rPr>
          <w:rFonts w:ascii="Times New Roman" w:hAnsi="Times New Roman" w:cs="Times New Roman"/>
          <w:sz w:val="24"/>
          <w:szCs w:val="24"/>
        </w:rPr>
        <w:t>https://gfdavydov.ru/.</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w:t>
      </w:r>
      <w:proofErr w:type="gramStart"/>
      <w:r w:rsidRPr="00E373FC">
        <w:rPr>
          <w:rFonts w:ascii="Times New Roman" w:eastAsiaTheme="minorEastAsia" w:hAnsi="Times New Roman" w:cs="Times New Roman"/>
          <w:color w:val="000000" w:themeColor="text1"/>
          <w:sz w:val="24"/>
          <w:szCs w:val="24"/>
          <w:lang w:eastAsia="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roofErr w:type="gramEnd"/>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w:t>
      </w:r>
      <w:proofErr w:type="spellStart"/>
      <w:r w:rsidRPr="00E373FC">
        <w:rPr>
          <w:rFonts w:ascii="Times New Roman" w:eastAsiaTheme="minorEastAsia" w:hAnsi="Times New Roman" w:cs="Times New Roman"/>
          <w:color w:val="000000" w:themeColor="text1"/>
          <w:sz w:val="24"/>
          <w:szCs w:val="24"/>
          <w:lang w:eastAsia="ru-RU"/>
        </w:rPr>
        <w:t>Роскомнадзор</w:t>
      </w:r>
      <w:proofErr w:type="spellEnd"/>
      <w:r w:rsidRPr="00E373FC">
        <w:rPr>
          <w:rFonts w:ascii="Times New Roman" w:eastAsiaTheme="minorEastAsia" w:hAnsi="Times New Roman" w:cs="Times New Roman"/>
          <w:color w:val="000000" w:themeColor="text1"/>
          <w:sz w:val="24"/>
          <w:szCs w:val="24"/>
          <w:lang w:eastAsia="ru-RU"/>
        </w:rPr>
        <w:t xml:space="preserve">») по запросу этого органа необходимую информацию в течение 10 рабочих дней </w:t>
      </w:r>
      <w:proofErr w:type="gramStart"/>
      <w:r w:rsidRPr="00E373FC">
        <w:rPr>
          <w:rFonts w:ascii="Times New Roman" w:eastAsiaTheme="minorEastAsia" w:hAnsi="Times New Roman" w:cs="Times New Roman"/>
          <w:color w:val="000000" w:themeColor="text1"/>
          <w:sz w:val="24"/>
          <w:szCs w:val="24"/>
          <w:lang w:eastAsia="ru-RU"/>
        </w:rPr>
        <w:t>с даты получения</w:t>
      </w:r>
      <w:proofErr w:type="gramEnd"/>
      <w:r w:rsidRPr="00E373FC">
        <w:rPr>
          <w:rFonts w:ascii="Times New Roman" w:eastAsiaTheme="minorEastAsia" w:hAnsi="Times New Roman" w:cs="Times New Roman"/>
          <w:color w:val="000000" w:themeColor="text1"/>
          <w:sz w:val="24"/>
          <w:szCs w:val="24"/>
          <w:lang w:eastAsia="ru-RU"/>
        </w:rPr>
        <w:t xml:space="preserve">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w:t>
      </w:r>
      <w:r w:rsidRPr="00E373FC">
        <w:rPr>
          <w:rFonts w:ascii="Times New Roman" w:eastAsiaTheme="minorEastAsia" w:hAnsi="Times New Roman" w:cs="Times New Roman"/>
          <w:color w:val="000000" w:themeColor="text1"/>
          <w:sz w:val="24"/>
          <w:szCs w:val="24"/>
          <w:lang w:eastAsia="ru-RU"/>
        </w:rPr>
        <w:lastRenderedPageBreak/>
        <w:t xml:space="preserve">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xml:space="preserve">, за исключением случаев, когда имеются законные основания для раскрытия таких персональных данных. </w:t>
      </w:r>
      <w:proofErr w:type="gramStart"/>
      <w:r w:rsidRPr="00E373FC">
        <w:rPr>
          <w:rFonts w:ascii="Times New Roman" w:eastAsiaTheme="minorEastAsia" w:hAnsi="Times New Roman" w:cs="Times New Roman"/>
          <w:color w:val="000000" w:themeColor="text1"/>
          <w:sz w:val="24"/>
          <w:szCs w:val="24"/>
          <w:lang w:eastAsia="ru-RU"/>
        </w:rPr>
        <w:t>Перечень информации и порядок ее получения установлен Законом о персональных данных;</w:t>
      </w:r>
      <w:proofErr w:type="gramEnd"/>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обжаловать в </w:t>
      </w:r>
      <w:proofErr w:type="spellStart"/>
      <w:r w:rsidRPr="00E373FC">
        <w:rPr>
          <w:rFonts w:ascii="Times New Roman" w:eastAsiaTheme="minorEastAsia" w:hAnsi="Times New Roman" w:cs="Times New Roman"/>
          <w:color w:val="000000" w:themeColor="text1"/>
          <w:sz w:val="24"/>
          <w:szCs w:val="24"/>
          <w:lang w:eastAsia="ru-RU"/>
        </w:rPr>
        <w:t>Роскомнадзоре</w:t>
      </w:r>
      <w:proofErr w:type="spellEnd"/>
      <w:r w:rsidRPr="00E373FC">
        <w:rPr>
          <w:rFonts w:ascii="Times New Roman" w:eastAsiaTheme="minorEastAsia" w:hAnsi="Times New Roman" w:cs="Times New Roman"/>
          <w:color w:val="000000" w:themeColor="text1"/>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59FF4761"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903EB1" w:rsidRPr="00903EB1">
        <w:rPr>
          <w:rFonts w:ascii="Times New Roman" w:eastAsia="SimSun" w:hAnsi="Times New Roman" w:cs="Times New Roman"/>
          <w:color w:val="000000" w:themeColor="text1"/>
          <w:kern w:val="2"/>
          <w:sz w:val="24"/>
          <w:szCs w:val="24"/>
          <w:lang w:eastAsia="zh-CN" w:bidi="hi-IN"/>
        </w:rPr>
        <w:t xml:space="preserve">394065, Воронежская область, г Воронеж, </w:t>
      </w:r>
      <w:proofErr w:type="spellStart"/>
      <w:r w:rsidR="00903EB1" w:rsidRPr="00903EB1">
        <w:rPr>
          <w:rFonts w:ascii="Times New Roman" w:eastAsia="SimSun" w:hAnsi="Times New Roman" w:cs="Times New Roman"/>
          <w:color w:val="000000" w:themeColor="text1"/>
          <w:kern w:val="2"/>
          <w:sz w:val="24"/>
          <w:szCs w:val="24"/>
          <w:lang w:eastAsia="zh-CN" w:bidi="hi-IN"/>
        </w:rPr>
        <w:t>пр-кт</w:t>
      </w:r>
      <w:proofErr w:type="spellEnd"/>
      <w:r w:rsidR="00903EB1" w:rsidRPr="00903EB1">
        <w:rPr>
          <w:rFonts w:ascii="Times New Roman" w:eastAsia="SimSun" w:hAnsi="Times New Roman" w:cs="Times New Roman"/>
          <w:color w:val="000000" w:themeColor="text1"/>
          <w:kern w:val="2"/>
          <w:sz w:val="24"/>
          <w:szCs w:val="24"/>
          <w:lang w:eastAsia="zh-CN" w:bidi="hi-IN"/>
        </w:rPr>
        <w:t xml:space="preserve"> Патриотов, д. 11а, офис 21 </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hyperlink r:id="rId6" w:history="1">
        <w:r w:rsidR="00903EB1" w:rsidRPr="00520B59">
          <w:rPr>
            <w:rStyle w:val="a6"/>
            <w:sz w:val="24"/>
            <w:szCs w:val="24"/>
            <w:lang w:val="en-US"/>
          </w:rPr>
          <w:t>AWMservice</w:t>
        </w:r>
        <w:r w:rsidR="00903EB1" w:rsidRPr="00520B59">
          <w:rPr>
            <w:rStyle w:val="a6"/>
            <w:sz w:val="24"/>
            <w:szCs w:val="24"/>
          </w:rPr>
          <w:t>@</w:t>
        </w:r>
        <w:r w:rsidR="00903EB1" w:rsidRPr="00520B59">
          <w:rPr>
            <w:rStyle w:val="a6"/>
            <w:sz w:val="24"/>
            <w:szCs w:val="24"/>
            <w:lang w:val="en-US"/>
          </w:rPr>
          <w:t>yandex</w:t>
        </w:r>
        <w:r w:rsidR="00903EB1" w:rsidRPr="00903EB1">
          <w:rPr>
            <w:rStyle w:val="a6"/>
            <w:sz w:val="24"/>
            <w:szCs w:val="24"/>
          </w:rPr>
          <w:t>.</w:t>
        </w:r>
        <w:proofErr w:type="spellStart"/>
        <w:r w:rsidR="00903EB1" w:rsidRPr="00520B59">
          <w:rPr>
            <w:rStyle w:val="a6"/>
            <w:sz w:val="24"/>
            <w:szCs w:val="24"/>
            <w:lang w:val="en-US"/>
          </w:rPr>
          <w:t>ru</w:t>
        </w:r>
        <w:proofErr w:type="spellEnd"/>
        <w:proofErr w:type="gramStart"/>
      </w:hyperlink>
      <w:r w:rsidR="00903EB1" w:rsidRPr="00903EB1">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w:t>
      </w:r>
      <w:proofErr w:type="gramEnd"/>
      <w:r w:rsidRPr="00E373FC">
        <w:rPr>
          <w:rFonts w:ascii="Times New Roman" w:eastAsiaTheme="minorEastAsia" w:hAnsi="Times New Roman" w:cs="Times New Roman"/>
          <w:color w:val="000000" w:themeColor="text1"/>
          <w:sz w:val="24"/>
          <w:szCs w:val="24"/>
          <w:lang w:eastAsia="ru-RU"/>
        </w:rPr>
        <w:t xml:space="preserve">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1.6. </w:t>
      </w:r>
      <w:proofErr w:type="gramStart"/>
      <w:r w:rsidRPr="00E373FC">
        <w:rPr>
          <w:rFonts w:ascii="Times New Roman" w:eastAsia="SimSun" w:hAnsi="Times New Roman" w:cs="Times New Roman"/>
          <w:color w:val="000000" w:themeColor="text1"/>
          <w:kern w:val="2"/>
          <w:sz w:val="24"/>
          <w:szCs w:val="24"/>
          <w:lang w:eastAsia="zh-CN" w:bidi="hi-IN"/>
        </w:rPr>
        <w:t>Контроль за</w:t>
      </w:r>
      <w:proofErr w:type="gramEnd"/>
      <w:r w:rsidRPr="00E373FC">
        <w:rPr>
          <w:rFonts w:ascii="Times New Roman" w:eastAsia="SimSun" w:hAnsi="Times New Roman" w:cs="Times New Roman"/>
          <w:color w:val="000000" w:themeColor="text1"/>
          <w:kern w:val="2"/>
          <w:sz w:val="24"/>
          <w:szCs w:val="24"/>
          <w:lang w:eastAsia="zh-CN" w:bidi="hi-IN"/>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w:t>
      </w:r>
      <w:proofErr w:type="spellStart"/>
      <w:r w:rsidRPr="00E373FC">
        <w:rPr>
          <w:rFonts w:ascii="Times New Roman" w:eastAsia="SimSun" w:hAnsi="Times New Roman" w:cs="Times New Roman"/>
          <w:color w:val="000000" w:themeColor="text1"/>
          <w:kern w:val="2"/>
          <w:sz w:val="24"/>
          <w:szCs w:val="24"/>
          <w:lang w:eastAsia="zh-CN" w:bidi="hi-IN"/>
        </w:rPr>
        <w:t>т.ч</w:t>
      </w:r>
      <w:proofErr w:type="spellEnd"/>
      <w:r w:rsidRPr="00E373FC">
        <w:rPr>
          <w:rFonts w:ascii="Times New Roman" w:eastAsia="SimSun" w:hAnsi="Times New Roman" w:cs="Times New Roman"/>
          <w:color w:val="000000" w:themeColor="text1"/>
          <w:kern w:val="2"/>
          <w:sz w:val="24"/>
          <w:szCs w:val="24"/>
          <w:lang w:eastAsia="zh-CN" w:bidi="hi-IN"/>
        </w:rPr>
        <w:t>. содействие работникам в трудоустройстве, получении образования</w:t>
      </w:r>
      <w:proofErr w:type="gramEnd"/>
      <w:r w:rsidRPr="00E373FC">
        <w:rPr>
          <w:rFonts w:ascii="Times New Roman" w:eastAsia="SimSun" w:hAnsi="Times New Roman" w:cs="Times New Roman"/>
          <w:color w:val="000000" w:themeColor="text1"/>
          <w:kern w:val="2"/>
          <w:sz w:val="24"/>
          <w:szCs w:val="24"/>
          <w:lang w:eastAsia="zh-CN" w:bidi="hi-IN"/>
        </w:rPr>
        <w:t xml:space="preserve"> и </w:t>
      </w:r>
      <w:proofErr w:type="gramStart"/>
      <w:r w:rsidRPr="00E373FC">
        <w:rPr>
          <w:rFonts w:ascii="Times New Roman" w:eastAsia="SimSun" w:hAnsi="Times New Roman" w:cs="Times New Roman"/>
          <w:color w:val="000000" w:themeColor="text1"/>
          <w:kern w:val="2"/>
          <w:sz w:val="24"/>
          <w:szCs w:val="24"/>
          <w:lang w:eastAsia="zh-CN" w:bidi="hi-IN"/>
        </w:rPr>
        <w:t>продвижении</w:t>
      </w:r>
      <w:proofErr w:type="gramEnd"/>
      <w:r w:rsidRPr="00E373FC">
        <w:rPr>
          <w:rFonts w:ascii="Times New Roman" w:eastAsia="SimSun" w:hAnsi="Times New Roman" w:cs="Times New Roman"/>
          <w:color w:val="000000" w:themeColor="text1"/>
          <w:kern w:val="2"/>
          <w:sz w:val="24"/>
          <w:szCs w:val="24"/>
          <w:lang w:eastAsia="zh-CN" w:bidi="hi-IN"/>
        </w:rPr>
        <w:t xml:space="preserve">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E373FC">
        <w:rPr>
          <w:rFonts w:ascii="Times New Roman" w:eastAsia="SimSun" w:hAnsi="Times New Roman" w:cs="Times New Roman"/>
          <w:color w:val="000000" w:themeColor="text1"/>
          <w:kern w:val="2"/>
          <w:sz w:val="24"/>
          <w:szCs w:val="24"/>
          <w:lang w:eastAsia="zh-CN" w:bidi="hi-IN"/>
        </w:rPr>
        <w:t xml:space="preserve"> (-</w:t>
      </w:r>
      <w:proofErr w:type="gramEnd"/>
      <w:r w:rsidRPr="00E373FC">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0FD881DF" w14:textId="77777777" w:rsidR="00E373FC" w:rsidRPr="00903EB1"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val="en-US"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w:t>
      </w:r>
      <w:bookmarkStart w:id="4" w:name="_GoBack"/>
      <w:r w:rsidRPr="00E373FC">
        <w:rPr>
          <w:rFonts w:ascii="Times New Roman" w:eastAsia="SimSun" w:hAnsi="Times New Roman" w:cs="Times New Roman"/>
          <w:color w:val="000000" w:themeColor="text1"/>
          <w:kern w:val="2"/>
          <w:sz w:val="24"/>
          <w:szCs w:val="24"/>
          <w:lang w:eastAsia="zh-CN" w:bidi="hi-IN"/>
        </w:rPr>
        <w:t xml:space="preserve"> по сети интернет.</w:t>
      </w:r>
      <w:bookmarkEnd w:id="4"/>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bookmarkEnd w:id="3"/>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proofErr w:type="gramStart"/>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w:t>
      </w:r>
      <w:proofErr w:type="gramEnd"/>
      <w:r w:rsidRPr="00E373FC">
        <w:rPr>
          <w:rFonts w:ascii="Times New Roman" w:eastAsia="SimSun" w:hAnsi="Times New Roman" w:cs="Times New Roman"/>
          <w:color w:val="000000" w:themeColor="text1"/>
          <w:kern w:val="2"/>
          <w:sz w:val="24"/>
          <w:szCs w:val="24"/>
          <w:lang w:eastAsia="zh-CN" w:bidi="hi-IN"/>
        </w:rPr>
        <w:t>,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случае</w:t>
      </w:r>
      <w:proofErr w:type="gramStart"/>
      <w:r w:rsidRPr="00E373FC">
        <w:rPr>
          <w:rFonts w:ascii="Times New Roman" w:eastAsia="SimSun" w:hAnsi="Times New Roman" w:cs="Times New Roman"/>
          <w:color w:val="000000" w:themeColor="text1"/>
          <w:kern w:val="2"/>
          <w:sz w:val="24"/>
          <w:szCs w:val="24"/>
          <w:lang w:eastAsia="zh-CN" w:bidi="hi-IN"/>
        </w:rPr>
        <w:t>,</w:t>
      </w:r>
      <w:proofErr w:type="gramEnd"/>
      <w:r w:rsidRPr="00E373FC">
        <w:rPr>
          <w:rFonts w:ascii="Times New Roman" w:eastAsia="SimSun" w:hAnsi="Times New Roman" w:cs="Times New Roman"/>
          <w:color w:val="000000" w:themeColor="text1"/>
          <w:kern w:val="2"/>
          <w:sz w:val="24"/>
          <w:szCs w:val="24"/>
          <w:lang w:eastAsia="zh-CN" w:bidi="hi-IN"/>
        </w:rPr>
        <w:t xml:space="preserve">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w:t>
      </w:r>
      <w:r w:rsidRPr="00E373FC">
        <w:rPr>
          <w:rFonts w:ascii="Times New Roman" w:eastAsia="SimSun" w:hAnsi="Times New Roman" w:cs="Times New Roman"/>
          <w:color w:val="000000" w:themeColor="text1"/>
          <w:kern w:val="2"/>
          <w:sz w:val="24"/>
          <w:szCs w:val="24"/>
          <w:lang w:eastAsia="zh-CN" w:bidi="hi-IN"/>
        </w:rPr>
        <w:lastRenderedPageBreak/>
        <w:t>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roofErr w:type="gramEnd"/>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w:t>
      </w:r>
      <w:proofErr w:type="gramEnd"/>
      <w:r w:rsidRPr="00E373FC">
        <w:rPr>
          <w:rFonts w:ascii="Times New Roman" w:eastAsia="SimSun" w:hAnsi="Times New Roman" w:cs="Times New Roman"/>
          <w:color w:val="000000" w:themeColor="text1"/>
          <w:kern w:val="2"/>
          <w:sz w:val="24"/>
          <w:szCs w:val="24"/>
          <w:lang w:eastAsia="zh-CN" w:bidi="hi-IN"/>
        </w:rPr>
        <w:t xml:space="preserve">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5"/>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roofErr w:type="gramEnd"/>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E373FC">
        <w:rPr>
          <w:rFonts w:ascii="Times New Roman" w:eastAsia="SimSun" w:hAnsi="Times New Roman" w:cs="Times New Roman"/>
          <w:color w:val="000000" w:themeColor="text1"/>
          <w:kern w:val="2"/>
          <w:sz w:val="24"/>
          <w:szCs w:val="24"/>
          <w:lang w:eastAsia="zh-CN" w:bidi="hi-IN"/>
        </w:rPr>
        <w:t xml:space="preserve"> (-</w:t>
      </w:r>
      <w:proofErr w:type="gramEnd"/>
      <w:r w:rsidRPr="00E373FC">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w:t>
      </w:r>
      <w:proofErr w:type="gramStart"/>
      <w:r w:rsidRPr="00E373FC">
        <w:rPr>
          <w:rFonts w:ascii="Times New Roman" w:eastAsia="SimSun" w:hAnsi="Times New Roman" w:cs="Times New Roman"/>
          <w:color w:val="000000" w:themeColor="text1"/>
          <w:kern w:val="2"/>
          <w:sz w:val="24"/>
          <w:szCs w:val="24"/>
          <w:lang w:eastAsia="zh-CN" w:bidi="hi-IN"/>
        </w:rPr>
        <w:t>о-</w:t>
      </w:r>
      <w:proofErr w:type="gramEnd"/>
      <w:r w:rsidRPr="00E373FC">
        <w:rPr>
          <w:rFonts w:ascii="Times New Roman" w:eastAsia="SimSun" w:hAnsi="Times New Roman" w:cs="Times New Roman"/>
          <w:color w:val="000000" w:themeColor="text1"/>
          <w:kern w:val="2"/>
          <w:sz w:val="24"/>
          <w:szCs w:val="24"/>
          <w:lang w:eastAsia="zh-CN" w:bidi="hi-IN"/>
        </w:rPr>
        <w:t xml:space="preserve">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w:t>
      </w:r>
      <w:proofErr w:type="gramEnd"/>
      <w:r w:rsidRPr="00E373FC">
        <w:rPr>
          <w:rFonts w:ascii="Times New Roman" w:eastAsia="SimSun" w:hAnsi="Times New Roman" w:cs="Times New Roman"/>
          <w:color w:val="000000" w:themeColor="text1"/>
          <w:kern w:val="2"/>
          <w:sz w:val="24"/>
          <w:szCs w:val="24"/>
          <w:lang w:eastAsia="zh-CN" w:bidi="hi-IN"/>
        </w:rPr>
        <w:t>)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E373FC">
        <w:rPr>
          <w:rFonts w:ascii="Times New Roman" w:eastAsia="SimSun" w:hAnsi="Times New Roman" w:cs="Times New Roman"/>
          <w:color w:val="000000" w:themeColor="text1"/>
          <w:kern w:val="2"/>
          <w:sz w:val="24"/>
          <w:szCs w:val="24"/>
          <w:lang w:eastAsia="zh-CN" w:bidi="hi-IN"/>
        </w:rPr>
        <w:t xml:space="preserve"> (-</w:t>
      </w:r>
      <w:proofErr w:type="gramEnd"/>
      <w:r w:rsidRPr="00E373FC">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roofErr w:type="gramEnd"/>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roofErr w:type="gramEnd"/>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E373FC">
        <w:rPr>
          <w:rFonts w:ascii="Times New Roman" w:eastAsia="SimSun" w:hAnsi="Times New Roman" w:cs="Times New Roman"/>
          <w:color w:val="000000" w:themeColor="text1"/>
          <w:kern w:val="2"/>
          <w:sz w:val="24"/>
          <w:szCs w:val="24"/>
          <w:lang w:eastAsia="zh-CN" w:bidi="hi-IN"/>
        </w:rPr>
        <w:t xml:space="preserve"> (-</w:t>
      </w:r>
      <w:proofErr w:type="gramEnd"/>
      <w:r w:rsidRPr="00E373FC">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обрабатывает следующие категории и перечень персональных данных посетителей в указанной в настоящем разделе Политики </w:t>
      </w:r>
      <w:proofErr w:type="gramStart"/>
      <w:r w:rsidRPr="00E373FC">
        <w:rPr>
          <w:rFonts w:ascii="Times New Roman" w:eastAsia="SimSun" w:hAnsi="Times New Roman" w:cs="Times New Roman"/>
          <w:color w:val="000000" w:themeColor="text1"/>
          <w:kern w:val="2"/>
          <w:sz w:val="24"/>
          <w:szCs w:val="24"/>
          <w:lang w:eastAsia="zh-CN" w:bidi="hi-IN"/>
        </w:rPr>
        <w:t>цели</w:t>
      </w:r>
      <w:proofErr w:type="gramEnd"/>
      <w:r w:rsidRPr="00E373FC">
        <w:rPr>
          <w:rFonts w:ascii="Times New Roman" w:eastAsia="SimSun" w:hAnsi="Times New Roman" w:cs="Times New Roman"/>
          <w:color w:val="000000" w:themeColor="text1"/>
          <w:kern w:val="2"/>
          <w:sz w:val="24"/>
          <w:szCs w:val="24"/>
          <w:lang w:eastAsia="zh-CN" w:bidi="hi-IN"/>
        </w:rPr>
        <w:t xml:space="preserve"> в том числе посредством внешней формы сбора персональных данных (https://form.gle):</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roofErr w:type="gramEnd"/>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E373FC">
        <w:rPr>
          <w:rFonts w:ascii="Times New Roman" w:eastAsia="SimSun" w:hAnsi="Times New Roman" w:cs="Times New Roman"/>
          <w:color w:val="000000" w:themeColor="text1"/>
          <w:kern w:val="2"/>
          <w:sz w:val="24"/>
          <w:szCs w:val="24"/>
          <w:lang w:eastAsia="zh-CN" w:bidi="hi-IN"/>
        </w:rPr>
        <w:t xml:space="preserve"> (-</w:t>
      </w:r>
      <w:proofErr w:type="gramEnd"/>
      <w:r w:rsidRPr="00E373FC">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6"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w:t>
      </w:r>
      <w:proofErr w:type="gramStart"/>
      <w:r w:rsidRPr="00E373FC">
        <w:rPr>
          <w:rFonts w:ascii="Times New Roman" w:eastAsia="SimSun" w:hAnsi="Times New Roman" w:cs="Times New Roman"/>
          <w:color w:val="000000" w:themeColor="text1"/>
          <w:kern w:val="2"/>
          <w:sz w:val="24"/>
          <w:szCs w:val="24"/>
          <w:lang w:eastAsia="zh-CN" w:bidi="hi-IN"/>
        </w:rPr>
        <w:t>.М</w:t>
      </w:r>
      <w:proofErr w:type="gramEnd"/>
      <w:r w:rsidRPr="00E373FC">
        <w:rPr>
          <w:rFonts w:ascii="Times New Roman" w:eastAsia="SimSun" w:hAnsi="Times New Roman" w:cs="Times New Roman"/>
          <w:color w:val="000000" w:themeColor="text1"/>
          <w:kern w:val="2"/>
          <w:sz w:val="24"/>
          <w:szCs w:val="24"/>
          <w:lang w:eastAsia="zh-CN" w:bidi="hi-IN"/>
        </w:rPr>
        <w:t>етрика</w:t>
      </w:r>
      <w:bookmarkEnd w:id="6"/>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roofErr w:type="gramEnd"/>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7"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w:t>
      </w:r>
      <w:r w:rsidRPr="00E373FC">
        <w:rPr>
          <w:rFonts w:ascii="Times New Roman" w:eastAsia="Times New Roman" w:hAnsi="Times New Roman" w:cs="Times New Roman"/>
          <w:color w:val="000000"/>
          <w:sz w:val="24"/>
          <w:szCs w:val="24"/>
        </w:rPr>
        <w:lastRenderedPageBreak/>
        <w:t>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w:t>
      </w:r>
      <w:proofErr w:type="gramStart"/>
      <w:r w:rsidRPr="00E373FC">
        <w:rPr>
          <w:rFonts w:ascii="Times New Roman" w:eastAsia="Times New Roman" w:hAnsi="Times New Roman" w:cs="Times New Roman"/>
          <w:color w:val="000000"/>
          <w:sz w:val="24"/>
          <w:szCs w:val="24"/>
        </w:rPr>
        <w:t>разрешены</w:t>
      </w:r>
      <w:proofErr w:type="gramEnd"/>
      <w:r w:rsidRPr="00E373FC">
        <w:rPr>
          <w:rFonts w:ascii="Times New Roman" w:eastAsia="Times New Roman" w:hAnsi="Times New Roman" w:cs="Times New Roman"/>
          <w:color w:val="000000"/>
          <w:sz w:val="24"/>
          <w:szCs w:val="24"/>
        </w:rPr>
        <w:t xml:space="preserve">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8"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w:t>
      </w:r>
      <w:proofErr w:type="gramStart"/>
      <w:r w:rsidRPr="00E373FC">
        <w:rPr>
          <w:rFonts w:ascii="Times New Roman" w:eastAsia="SimSun" w:hAnsi="Times New Roman" w:cs="Times New Roman"/>
          <w:color w:val="000000" w:themeColor="text1"/>
          <w:kern w:val="2"/>
          <w:sz w:val="24"/>
          <w:szCs w:val="24"/>
          <w:lang w:eastAsia="zh-CN" w:bidi="hi-IN"/>
        </w:rPr>
        <w:t>.М</w:t>
      </w:r>
      <w:proofErr w:type="gramEnd"/>
      <w:r w:rsidRPr="00E373FC">
        <w:rPr>
          <w:rFonts w:ascii="Times New Roman" w:eastAsia="SimSun" w:hAnsi="Times New Roman" w:cs="Times New Roman"/>
          <w:color w:val="000000" w:themeColor="text1"/>
          <w:kern w:val="2"/>
          <w:sz w:val="24"/>
          <w:szCs w:val="24"/>
          <w:lang w:eastAsia="zh-CN" w:bidi="hi-IN"/>
        </w:rPr>
        <w:t>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8"/>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9"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E373FC">
        <w:rPr>
          <w:rFonts w:ascii="Times New Roman" w:eastAsia="SimSun" w:hAnsi="Times New Roman" w:cs="Times New Roman"/>
          <w:color w:val="000000" w:themeColor="text1"/>
          <w:kern w:val="2"/>
          <w:sz w:val="24"/>
          <w:szCs w:val="24"/>
          <w:lang w:eastAsia="zh-CN" w:bidi="hi-IN"/>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w:t>
      </w:r>
      <w:proofErr w:type="gramEnd"/>
      <w:r w:rsidRPr="00E373FC">
        <w:rPr>
          <w:rFonts w:ascii="Times New Roman" w:eastAsia="SimSun" w:hAnsi="Times New Roman" w:cs="Times New Roman"/>
          <w:color w:val="000000" w:themeColor="text1"/>
          <w:kern w:val="2"/>
          <w:sz w:val="24"/>
          <w:szCs w:val="24"/>
          <w:lang w:eastAsia="zh-CN" w:bidi="hi-IN"/>
        </w:rPr>
        <w:t xml:space="preserve">.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w:t>
      </w:r>
      <w:proofErr w:type="gramStart"/>
      <w:r w:rsidRPr="00E373FC">
        <w:rPr>
          <w:rFonts w:ascii="Times New Roman" w:eastAsia="SimSun" w:hAnsi="Times New Roman" w:cs="Times New Roman"/>
          <w:color w:val="000000" w:themeColor="text1"/>
          <w:kern w:val="2"/>
          <w:sz w:val="24"/>
          <w:szCs w:val="24"/>
          <w:lang w:eastAsia="zh-CN" w:bidi="hi-IN"/>
        </w:rPr>
        <w:t>числе</w:t>
      </w:r>
      <w:proofErr w:type="gramEnd"/>
      <w:r w:rsidRPr="00E373FC">
        <w:rPr>
          <w:rFonts w:ascii="Times New Roman" w:eastAsia="SimSun" w:hAnsi="Times New Roman" w:cs="Times New Roman"/>
          <w:color w:val="000000" w:themeColor="text1"/>
          <w:kern w:val="2"/>
          <w:sz w:val="24"/>
          <w:szCs w:val="24"/>
          <w:lang w:eastAsia="zh-CN" w:bidi="hi-IN"/>
        </w:rPr>
        <w:t xml:space="preserve">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E373FC">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E373FC">
        <w:rPr>
          <w:rFonts w:ascii="Times New Roman" w:eastAsia="SimSun" w:hAnsi="Times New Roman" w:cs="Times New Roman"/>
          <w:color w:val="000000" w:themeColor="text1"/>
          <w:kern w:val="2"/>
          <w:sz w:val="24"/>
          <w:szCs w:val="24"/>
          <w:lang w:eastAsia="zh-CN" w:bidi="hi-IN"/>
        </w:rPr>
        <w:t>Роскомнадзора</w:t>
      </w:r>
      <w:proofErr w:type="spellEnd"/>
      <w:r w:rsidRPr="00E373FC">
        <w:rPr>
          <w:rFonts w:ascii="Times New Roman" w:eastAsia="SimSun" w:hAnsi="Times New Roman" w:cs="Times New Roman"/>
          <w:color w:val="000000" w:themeColor="text1"/>
          <w:kern w:val="2"/>
          <w:sz w:val="24"/>
          <w:szCs w:val="24"/>
          <w:lang w:eastAsia="zh-CN" w:bidi="hi-I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E373FC">
        <w:rPr>
          <w:rFonts w:ascii="Times New Roman" w:eastAsia="SimSun" w:hAnsi="Times New Roman" w:cs="Times New Roman"/>
          <w:color w:val="000000" w:themeColor="text1"/>
          <w:kern w:val="2"/>
          <w:sz w:val="24"/>
          <w:szCs w:val="24"/>
          <w:lang w:eastAsia="zh-CN" w:bidi="hi-IN"/>
        </w:rPr>
        <w:t>Роскомнадзором</w:t>
      </w:r>
      <w:proofErr w:type="spellEnd"/>
      <w:r w:rsidRPr="00E373FC">
        <w:rPr>
          <w:rFonts w:ascii="Times New Roman" w:eastAsia="SimSun" w:hAnsi="Times New Roman" w:cs="Times New Roman"/>
          <w:color w:val="000000" w:themeColor="text1"/>
          <w:kern w:val="2"/>
          <w:sz w:val="24"/>
          <w:szCs w:val="24"/>
          <w:lang w:eastAsia="zh-CN" w:bidi="hi-I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w:t>
      </w:r>
      <w:proofErr w:type="gramEnd"/>
      <w:r w:rsidRPr="00E373FC">
        <w:rPr>
          <w:rFonts w:ascii="Times New Roman" w:eastAsiaTheme="minorEastAsia" w:hAnsi="Times New Roman" w:cs="Times New Roman"/>
          <w:color w:val="000000" w:themeColor="text1"/>
          <w:sz w:val="24"/>
          <w:szCs w:val="24"/>
          <w:lang w:eastAsia="ru-RU"/>
        </w:rPr>
        <w:t xml:space="preserve"> иное не предусмотрено договором, стороной которого, выгодоприобретателем или поручителем по которому является субъект </w:t>
      </w:r>
      <w:r w:rsidRPr="00E373FC">
        <w:rPr>
          <w:rFonts w:ascii="Times New Roman" w:eastAsiaTheme="minorEastAsia" w:hAnsi="Times New Roman" w:cs="Times New Roman"/>
          <w:color w:val="000000" w:themeColor="text1"/>
          <w:sz w:val="24"/>
          <w:szCs w:val="24"/>
          <w:lang w:eastAsia="ru-RU"/>
        </w:rPr>
        <w:lastRenderedPageBreak/>
        <w:t>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w:t>
      </w:r>
      <w:proofErr w:type="gramStart"/>
      <w:r w:rsidRPr="00E373FC">
        <w:rPr>
          <w:rFonts w:ascii="Times New Roman" w:eastAsiaTheme="minorEastAsia" w:hAnsi="Times New Roman" w:cs="Times New Roman"/>
          <w:color w:val="000000" w:themeColor="text1"/>
          <w:sz w:val="24"/>
          <w:szCs w:val="24"/>
          <w:lang w:eastAsia="ru-RU"/>
        </w:rPr>
        <w:t>,</w:t>
      </w:r>
      <w:proofErr w:type="gramEnd"/>
      <w:r w:rsidRPr="00E373FC">
        <w:rPr>
          <w:rFonts w:ascii="Times New Roman" w:eastAsiaTheme="minorEastAsia" w:hAnsi="Times New Roman" w:cs="Times New Roman"/>
          <w:color w:val="000000" w:themeColor="text1"/>
          <w:sz w:val="24"/>
          <w:szCs w:val="24"/>
          <w:lang w:eastAsia="ru-RU"/>
        </w:rPr>
        <w:t xml:space="preserve">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gramStart"/>
      <w:r w:rsidRPr="00E373FC">
        <w:rPr>
          <w:rFonts w:ascii="Times New Roman" w:eastAsiaTheme="minorEastAsia" w:hAnsi="Times New Roman" w:cs="Times New Roman"/>
          <w:color w:val="000000" w:themeColor="text1"/>
          <w:sz w:val="24"/>
          <w:szCs w:val="24"/>
          <w:lang w:eastAsia="ru-RU"/>
        </w:rPr>
        <w:t>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roofErr w:type="gramEnd"/>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E373FC">
        <w:rPr>
          <w:rFonts w:ascii="Times New Roman" w:eastAsiaTheme="minorEastAsia" w:hAnsi="Times New Roman" w:cs="Times New Roman"/>
          <w:color w:val="000000" w:themeColor="text1"/>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w:t>
      </w:r>
      <w:proofErr w:type="gramEnd"/>
      <w:r w:rsidRPr="00E373FC">
        <w:rPr>
          <w:rFonts w:ascii="Times New Roman" w:eastAsiaTheme="minorEastAsia" w:hAnsi="Times New Roman" w:cs="Times New Roman"/>
          <w:color w:val="000000" w:themeColor="text1"/>
          <w:sz w:val="24"/>
          <w:szCs w:val="24"/>
          <w:lang w:eastAsia="ru-RU"/>
        </w:rPr>
        <w:t xml:space="preserve">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7"/>
    <w:bookmarkEnd w:id="9"/>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10"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690069, Приморский край, г. Владивосток, ул. Давыдова, 5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proofErr w:type="spellStart"/>
      <w:r w:rsidRPr="00E373FC">
        <w:rPr>
          <w:rFonts w:ascii="Times New Roman" w:hAnsi="Times New Roman" w:cs="Times New Roman"/>
          <w:sz w:val="24"/>
          <w:szCs w:val="24"/>
          <w:lang w:val="en-US"/>
        </w:rPr>
        <w:t>zankov</w:t>
      </w:r>
      <w:proofErr w:type="spellEnd"/>
      <w:r w:rsidRPr="00E373FC">
        <w:rPr>
          <w:rFonts w:ascii="Times New Roman" w:hAnsi="Times New Roman" w:cs="Times New Roman"/>
          <w:sz w:val="24"/>
          <w:szCs w:val="24"/>
        </w:rPr>
        <w:t>@</w:t>
      </w:r>
      <w:proofErr w:type="spellStart"/>
      <w:r w:rsidRPr="00E373FC">
        <w:rPr>
          <w:rFonts w:ascii="Times New Roman" w:hAnsi="Times New Roman" w:cs="Times New Roman"/>
          <w:sz w:val="24"/>
          <w:szCs w:val="24"/>
          <w:lang w:val="en-US"/>
        </w:rPr>
        <w:t>gfitnessa</w:t>
      </w:r>
      <w:proofErr w:type="spellEnd"/>
      <w:r w:rsidRPr="00E373FC">
        <w:rPr>
          <w:rFonts w:ascii="Times New Roman" w:hAnsi="Times New Roman" w:cs="Times New Roman"/>
          <w:sz w:val="24"/>
          <w:szCs w:val="24"/>
        </w:rPr>
        <w:t>.</w:t>
      </w:r>
      <w:proofErr w:type="spellStart"/>
      <w:r w:rsidRPr="00E373FC">
        <w:rPr>
          <w:rFonts w:ascii="Times New Roman" w:hAnsi="Times New Roman" w:cs="Times New Roman"/>
          <w:sz w:val="24"/>
          <w:szCs w:val="24"/>
          <w:lang w:val="en-US"/>
        </w:rPr>
        <w:t>ru</w:t>
      </w:r>
      <w:proofErr w:type="spellEnd"/>
      <w:r w:rsidRPr="00E373FC">
        <w:rPr>
          <w:rFonts w:ascii="Times New Roman" w:hAnsi="Times New Roman" w:cs="Times New Roman"/>
          <w:sz w:val="24"/>
          <w:szCs w:val="24"/>
        </w:rPr>
        <w:t>..</w:t>
      </w:r>
      <w:bookmarkEnd w:id="10"/>
      <w:proofErr w:type="gramEnd"/>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E0"/>
    <w:rsid w:val="000C1F7C"/>
    <w:rsid w:val="002206E0"/>
    <w:rsid w:val="00411673"/>
    <w:rsid w:val="005426E1"/>
    <w:rsid w:val="00644F1A"/>
    <w:rsid w:val="007A5096"/>
    <w:rsid w:val="00903EB1"/>
    <w:rsid w:val="00A83378"/>
    <w:rsid w:val="00DA5553"/>
    <w:rsid w:val="00E2562E"/>
    <w:rsid w:val="00E3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Mservice@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6181</Words>
  <Characters>35234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Филиппович</dc:creator>
  <cp:lastModifiedBy>RePack by Diakov</cp:lastModifiedBy>
  <cp:revision>2</cp:revision>
  <dcterms:created xsi:type="dcterms:W3CDTF">2025-11-24T08:29:00Z</dcterms:created>
  <dcterms:modified xsi:type="dcterms:W3CDTF">2025-11-24T08:29:00Z</dcterms:modified>
</cp:coreProperties>
</file>